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C0940" w14:textId="46F635E0" w:rsidR="006170B5" w:rsidRPr="006170B5" w:rsidRDefault="001467D0" w:rsidP="006170B5">
      <w:pPr>
        <w:jc w:val="right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</w:t>
      </w:r>
      <w:r w:rsidR="006170B5" w:rsidRPr="006170B5">
        <w:rPr>
          <w:rFonts w:ascii="Poppins" w:hAnsi="Poppins" w:cs="Poppins"/>
          <w:sz w:val="20"/>
          <w:szCs w:val="20"/>
        </w:rPr>
        <w:t xml:space="preserve">arszawa, </w:t>
      </w:r>
      <w:r w:rsidR="00E81528">
        <w:rPr>
          <w:rFonts w:ascii="Poppins" w:hAnsi="Poppins" w:cs="Poppins"/>
          <w:sz w:val="20"/>
          <w:szCs w:val="20"/>
        </w:rPr>
        <w:t>22</w:t>
      </w:r>
      <w:r w:rsidR="00BF2F46">
        <w:rPr>
          <w:rFonts w:ascii="Poppins" w:hAnsi="Poppins" w:cs="Poppins"/>
          <w:sz w:val="20"/>
          <w:szCs w:val="20"/>
        </w:rPr>
        <w:t>.</w:t>
      </w:r>
      <w:r w:rsidR="008D750B">
        <w:rPr>
          <w:rFonts w:ascii="Poppins" w:hAnsi="Poppins" w:cs="Poppins"/>
          <w:sz w:val="20"/>
          <w:szCs w:val="20"/>
        </w:rPr>
        <w:t>0</w:t>
      </w:r>
      <w:r w:rsidR="00E5091C">
        <w:rPr>
          <w:rFonts w:ascii="Poppins" w:hAnsi="Poppins" w:cs="Poppins"/>
          <w:sz w:val="20"/>
          <w:szCs w:val="20"/>
        </w:rPr>
        <w:t>9</w:t>
      </w:r>
      <w:r w:rsidR="00BF2F46">
        <w:rPr>
          <w:rFonts w:ascii="Poppins" w:hAnsi="Poppins" w:cs="Poppins"/>
          <w:sz w:val="20"/>
          <w:szCs w:val="20"/>
        </w:rPr>
        <w:t>.202</w:t>
      </w:r>
      <w:r w:rsidR="00D67FE6">
        <w:rPr>
          <w:rFonts w:ascii="Poppins" w:hAnsi="Poppins" w:cs="Poppins"/>
          <w:sz w:val="20"/>
          <w:szCs w:val="20"/>
        </w:rPr>
        <w:t>5</w:t>
      </w:r>
      <w:r w:rsidR="00BF2F46">
        <w:rPr>
          <w:rFonts w:ascii="Poppins" w:hAnsi="Poppins" w:cs="Poppins"/>
          <w:sz w:val="20"/>
          <w:szCs w:val="20"/>
        </w:rPr>
        <w:t xml:space="preserve"> r.</w:t>
      </w:r>
    </w:p>
    <w:p w14:paraId="14CED1E6" w14:textId="0FF55919" w:rsidR="008D750B" w:rsidRDefault="00293F01" w:rsidP="008D750B">
      <w:pPr>
        <w:rPr>
          <w:rFonts w:ascii="Poppins" w:hAnsi="Poppins" w:cs="Poppins"/>
          <w:sz w:val="24"/>
          <w:szCs w:val="24"/>
        </w:rPr>
      </w:pPr>
      <w:r w:rsidRPr="00293F01">
        <w:rPr>
          <w:rFonts w:ascii="Poppins" w:hAnsi="Poppins" w:cs="Poppins"/>
          <w:sz w:val="24"/>
          <w:szCs w:val="24"/>
        </w:rPr>
        <w:t xml:space="preserve">Autor: </w:t>
      </w:r>
      <w:r w:rsidR="00BF2F46">
        <w:rPr>
          <w:rFonts w:ascii="Poppins" w:hAnsi="Poppins" w:cs="Poppins"/>
          <w:sz w:val="24"/>
          <w:szCs w:val="24"/>
        </w:rPr>
        <w:t>Jarosław Jędrzyński</w:t>
      </w:r>
      <w:r w:rsidR="00E5091C">
        <w:rPr>
          <w:rFonts w:ascii="Poppins" w:hAnsi="Poppins" w:cs="Poppins"/>
          <w:sz w:val="24"/>
          <w:szCs w:val="24"/>
        </w:rPr>
        <w:t xml:space="preserve">, ekspert portalu </w:t>
      </w:r>
      <w:hyperlink r:id="rId8" w:history="1">
        <w:r w:rsidR="00E5091C" w:rsidRPr="003340B5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  <w:r w:rsidR="00E5091C">
        <w:rPr>
          <w:rFonts w:ascii="Poppins" w:hAnsi="Poppins" w:cs="Poppins"/>
          <w:sz w:val="24"/>
          <w:szCs w:val="24"/>
        </w:rPr>
        <w:t xml:space="preserve"> </w:t>
      </w:r>
    </w:p>
    <w:p w14:paraId="012D3720" w14:textId="77777777" w:rsidR="008201C2" w:rsidRPr="00061A3B" w:rsidRDefault="008201C2" w:rsidP="008201C2">
      <w:pPr>
        <w:spacing w:before="120" w:after="120" w:line="240" w:lineRule="auto"/>
        <w:outlineLvl w:val="0"/>
        <w:rPr>
          <w:rFonts w:ascii="Poppins" w:eastAsia="Times New Roman" w:hAnsi="Poppins" w:cs="Poppins"/>
          <w:b/>
          <w:bCs/>
          <w:kern w:val="36"/>
          <w:sz w:val="32"/>
          <w:szCs w:val="32"/>
          <w:lang w:eastAsia="pl-PL"/>
        </w:rPr>
      </w:pPr>
      <w:r w:rsidRPr="00061A3B">
        <w:rPr>
          <w:rFonts w:ascii="Poppins" w:eastAsia="Times New Roman" w:hAnsi="Poppins" w:cs="Poppins"/>
          <w:b/>
          <w:bCs/>
          <w:kern w:val="36"/>
          <w:sz w:val="32"/>
          <w:szCs w:val="32"/>
          <w:lang w:eastAsia="pl-PL"/>
        </w:rPr>
        <w:t>Zielone mieszkanie - złoty zysk, czyli jak zrównoważone nieruchomości biją rekordy opłacalności</w:t>
      </w:r>
    </w:p>
    <w:p w14:paraId="3EA86EF0" w14:textId="7C120E9B" w:rsidR="008201C2" w:rsidRPr="00061A3B" w:rsidRDefault="00FD3C74" w:rsidP="003340B5">
      <w:pPr>
        <w:spacing w:before="120" w:after="120" w:line="240" w:lineRule="auto"/>
        <w:jc w:val="both"/>
        <w:outlineLvl w:val="0"/>
        <w:rPr>
          <w:rFonts w:ascii="Poppins" w:eastAsia="Times New Roman" w:hAnsi="Poppins" w:cs="Poppins"/>
          <w:b/>
          <w:bCs/>
          <w:kern w:val="36"/>
          <w:lang w:eastAsia="pl-PL"/>
        </w:rPr>
      </w:pPr>
      <w:r w:rsidRPr="00061A3B">
        <w:rPr>
          <w:rFonts w:ascii="Poppins" w:hAnsi="Poppins" w:cs="Poppins"/>
          <w:b/>
          <w:bCs/>
        </w:rPr>
        <w:t>Zdaniem analityków portalu RynekPierwotny.pl</w:t>
      </w:r>
      <w:r w:rsidRPr="00061A3B">
        <w:rPr>
          <w:rFonts w:ascii="Poppins" w:eastAsia="Times New Roman" w:hAnsi="Poppins" w:cs="Poppins"/>
          <w:b/>
          <w:bCs/>
          <w:lang w:eastAsia="pl-PL"/>
        </w:rPr>
        <w:t>, w</w:t>
      </w:r>
      <w:r w:rsidR="008201C2" w:rsidRPr="00061A3B">
        <w:rPr>
          <w:rFonts w:ascii="Poppins" w:eastAsia="Times New Roman" w:hAnsi="Poppins" w:cs="Poppins"/>
          <w:b/>
          <w:bCs/>
          <w:lang w:eastAsia="pl-PL"/>
        </w:rPr>
        <w:t xml:space="preserve"> czasach nieubłaganie rosnących kosztów energii, wysokiej inflacji czy coraz ostrzejszych norm środowiskowych, zrównoważone budownictwo staje się nie tylko trendem wizerunkowym, ale i realną przewagą inwestycyjną. Certyfikaty BREEAM, LEED czy WELL nie są już wyłączną domeną biurowców – wkraczają do segmentu mieszkaniowego, generując wyższe stawki czynszów i lepsze ceny przy sprzedaży.</w:t>
      </w:r>
    </w:p>
    <w:p w14:paraId="5EB4D362" w14:textId="77777777" w:rsidR="008201C2" w:rsidRPr="00061A3B" w:rsidRDefault="008201C2" w:rsidP="008201C2">
      <w:pPr>
        <w:spacing w:before="120" w:after="120" w:line="240" w:lineRule="auto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eastAsia="Times New Roman" w:hAnsi="Poppins" w:cs="Poppins"/>
          <w:b/>
          <w:bCs/>
          <w:lang w:eastAsia="pl-PL"/>
        </w:rPr>
        <w:t>Boom na zielone nieruchomości w Polsce</w:t>
      </w:r>
    </w:p>
    <w:p w14:paraId="56F03FD6" w14:textId="77777777" w:rsidR="002D61E9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Jeszcze stosunkowo niedawno takie pojęcia jak „zielone mieszkanie” czy „budynek zeroemisyjny” kojarzyły się głównie z wizją architektów-futurystów. W 2025 roku to już rynkowa rzeczywistość dążąca do statusu rynkowej normy.</w:t>
      </w:r>
    </w:p>
    <w:p w14:paraId="5A1E3A68" w14:textId="59CDCAAF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Według raportu EY Polska „Przewodnik po rynku nieruchomości 2025” ponad jedna piąta nowych inwestycji mieszkaniowych w największych rodzimych metropoliach posiada certyfikat ekologiczny, a kolejne 35 proc. jest realizowanych w standardzie umożliwiającym jego uzyskanie.</w:t>
      </w:r>
    </w:p>
    <w:p w14:paraId="54B37F85" w14:textId="77777777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 xml:space="preserve">Rosnąca świadomość ekologiczna Polaków idzie w parze z pragmatyzmem finansowym: kupujący i najemcy coraz częściej liczą całkowity koszt utrzymania nieruchomości, a nie tylko cenę zakupu czy wysokość czynszu. Dlatego też klienci deweloperskich biur sprzedaży coraz częściej pytają o certyfikaty, a już niebawem takie zainteresowanie może komunikować zdecydowana większość z nich. To jedno z poważniejszych wyzwań dla deweloperów, którzy będą zmuszeni dostosować nie tylko same technologie, ale być może również kalkulacje marż do standardów zielonej certyfikacji.  </w:t>
      </w:r>
    </w:p>
    <w:p w14:paraId="0530060F" w14:textId="77777777" w:rsidR="008201C2" w:rsidRPr="00061A3B" w:rsidRDefault="008201C2" w:rsidP="008201C2">
      <w:pPr>
        <w:spacing w:before="120" w:after="120" w:line="240" w:lineRule="auto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eastAsia="Times New Roman" w:hAnsi="Poppins" w:cs="Poppins"/>
          <w:b/>
          <w:bCs/>
          <w:lang w:eastAsia="pl-PL"/>
        </w:rPr>
        <w:t>Oszczędności, które przekonują inwestorów i najemców</w:t>
      </w:r>
    </w:p>
    <w:p w14:paraId="1E6520C7" w14:textId="77777777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Energooszczędne instalacje – od pomp ciepła i paneli fotowoltaicznych po rekuperację – pozwalają obniżyć koszty ogrzewania i energii elektrycznej o 30–50% w porównaniu do budynków tradycyjnych.</w:t>
      </w:r>
    </w:p>
    <w:p w14:paraId="28A73608" w14:textId="5BC6807D" w:rsidR="008201C2" w:rsidRPr="00061A3B" w:rsidRDefault="008201C2" w:rsidP="003340B5">
      <w:pPr>
        <w:spacing w:before="120" w:after="120" w:line="240" w:lineRule="auto"/>
        <w:jc w:val="both"/>
        <w:rPr>
          <w:rFonts w:ascii="Poppins" w:hAnsi="Poppins" w:cs="Poppins"/>
          <w:color w:val="333333"/>
          <w:shd w:val="clear" w:color="auto" w:fill="FFFFFF"/>
        </w:rPr>
      </w:pPr>
      <w:r w:rsidRPr="00061A3B">
        <w:rPr>
          <w:rFonts w:ascii="Poppins" w:eastAsia="Times New Roman" w:hAnsi="Poppins" w:cs="Poppins"/>
          <w:lang w:eastAsia="pl-PL"/>
        </w:rPr>
        <w:t>Przykładowe przeciętne lokum o powierzchni 60 m</w:t>
      </w:r>
      <w:r w:rsidR="00C433F4" w:rsidRPr="00061A3B">
        <w:rPr>
          <w:rFonts w:ascii="Poppins" w:eastAsia="Times New Roman" w:hAnsi="Poppins" w:cs="Poppins"/>
          <w:lang w:eastAsia="pl-PL"/>
        </w:rPr>
        <w:t xml:space="preserve"> </w:t>
      </w:r>
      <w:r w:rsidRPr="00061A3B">
        <w:rPr>
          <w:rFonts w:ascii="Poppins" w:eastAsia="Times New Roman" w:hAnsi="Poppins" w:cs="Poppins"/>
          <w:lang w:eastAsia="pl-PL"/>
        </w:rPr>
        <w:t xml:space="preserve">kw. w standardzie NF40 może generować roczne oszczędności rzędu 3–4 tys. zł na rachunkach za prąd i ogrzewanie. </w:t>
      </w:r>
      <w:r w:rsidRPr="00061A3B">
        <w:rPr>
          <w:rFonts w:ascii="Poppins" w:hAnsi="Poppins" w:cs="Poppins"/>
          <w:color w:val="333333"/>
          <w:shd w:val="clear" w:color="auto" w:fill="FFFFFF"/>
        </w:rPr>
        <w:t>NF40 odnosi się do domów i mieszkań energooszczędnych, których zapotrzebowanie na energię użytkową do celów ogrzewania i wentylacji wynosi maksimum 40 kWh/mkw. w skali rocznej, przy zapotrzebowaniu nawet trzykrotnie wyższym w przypadki tradycyjnych budynków. </w:t>
      </w:r>
    </w:p>
    <w:p w14:paraId="31D08C2D" w14:textId="7D2D00A3" w:rsidR="008201C2" w:rsidRPr="00061A3B" w:rsidRDefault="00C51D9E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hAnsi="Poppins" w:cs="Poppins"/>
          <w:color w:val="333333"/>
          <w:shd w:val="clear" w:color="auto" w:fill="FFFFFF"/>
        </w:rPr>
        <w:t xml:space="preserve">Jak podkreśla ekspert portalu </w:t>
      </w:r>
      <w:hyperlink r:id="rId9" w:history="1">
        <w:r w:rsidRPr="00061A3B">
          <w:rPr>
            <w:rStyle w:val="Hipercze"/>
            <w:rFonts w:ascii="Poppins" w:hAnsi="Poppins" w:cs="Poppins"/>
            <w:shd w:val="clear" w:color="auto" w:fill="FFFFFF"/>
          </w:rPr>
          <w:t>RynekPierwotny.pl</w:t>
        </w:r>
      </w:hyperlink>
      <w:r w:rsidRPr="00061A3B">
        <w:rPr>
          <w:rFonts w:ascii="Poppins" w:hAnsi="Poppins" w:cs="Poppins"/>
          <w:color w:val="333333"/>
          <w:shd w:val="clear" w:color="auto" w:fill="FFFFFF"/>
        </w:rPr>
        <w:t>, a</w:t>
      </w:r>
      <w:r w:rsidR="008201C2" w:rsidRPr="00061A3B">
        <w:rPr>
          <w:rFonts w:ascii="Poppins" w:hAnsi="Poppins" w:cs="Poppins"/>
          <w:color w:val="333333"/>
          <w:shd w:val="clear" w:color="auto" w:fill="FFFFFF"/>
        </w:rPr>
        <w:t xml:space="preserve">by osiągnąć tak wyśrubowane parametry należy rzecz jasna liczyć się ze wzrostem kosztów budowy, które sięgają poziomu 15-25 proc. w zależności od zastosowanych technologii. Znacznie wyższe są bowiem w tym przypadku wymagania dotyczące jakości izolacji cieplnej, wydajności wentylacji mechanicznej z odzyskiem ciepła, szczelności w przepływie powietrza, czy energooszczędnych systemów ogrzewania. Taka </w:t>
      </w:r>
      <w:r w:rsidR="008201C2" w:rsidRPr="00061A3B">
        <w:rPr>
          <w:rFonts w:ascii="Poppins" w:hAnsi="Poppins" w:cs="Poppins"/>
          <w:color w:val="333333"/>
          <w:shd w:val="clear" w:color="auto" w:fill="FFFFFF"/>
        </w:rPr>
        <w:lastRenderedPageBreak/>
        <w:t>inwestycja wymaga zatem odczuwalnie większych nakładów, które jednak zwracają się już w perspektywie kilkuletniej, i to nie licząc dostępnej w takim przypadku możliwości skorzystania z dofinansowania.</w:t>
      </w:r>
    </w:p>
    <w:p w14:paraId="6DCD3E8C" w14:textId="2018AF70" w:rsidR="002D61E9" w:rsidRPr="00061A3B" w:rsidRDefault="008201C2" w:rsidP="00061A3B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Efekt? Najemcy są gotowi płacić wyższy czynsz, jeśli w zamian otrzymują niskie i przewidywalne opłaty eksploatacyjne. W praktyce oznacza to niebagatelny dla inwestorów niższy wskaźnik pustostanów i dłuższy okres wynajmu bez przerw.</w:t>
      </w:r>
    </w:p>
    <w:p w14:paraId="6001DC72" w14:textId="46E58287" w:rsidR="008201C2" w:rsidRPr="00061A3B" w:rsidRDefault="008201C2" w:rsidP="008201C2">
      <w:pPr>
        <w:spacing w:before="120" w:after="120" w:line="240" w:lineRule="auto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eastAsia="Times New Roman" w:hAnsi="Poppins" w:cs="Poppins"/>
          <w:b/>
          <w:bCs/>
          <w:lang w:eastAsia="pl-PL"/>
        </w:rPr>
        <w:t>Premia cenowa przy sprzedaży</w:t>
      </w:r>
    </w:p>
    <w:p w14:paraId="4272F69A" w14:textId="0AC4F927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Badania Knight Frank</w:t>
      </w:r>
      <w:r w:rsidR="008350DC" w:rsidRPr="00061A3B">
        <w:rPr>
          <w:rFonts w:ascii="Poppins" w:eastAsia="Times New Roman" w:hAnsi="Poppins" w:cs="Poppins"/>
          <w:lang w:eastAsia="pl-PL"/>
        </w:rPr>
        <w:t>, EY</w:t>
      </w:r>
      <w:r w:rsidRPr="00061A3B">
        <w:rPr>
          <w:rFonts w:ascii="Poppins" w:eastAsia="Times New Roman" w:hAnsi="Poppins" w:cs="Poppins"/>
          <w:lang w:eastAsia="pl-PL"/>
        </w:rPr>
        <w:t xml:space="preserve"> oraz BNP </w:t>
      </w:r>
      <w:proofErr w:type="spellStart"/>
      <w:r w:rsidRPr="00061A3B">
        <w:rPr>
          <w:rFonts w:ascii="Poppins" w:eastAsia="Times New Roman" w:hAnsi="Poppins" w:cs="Poppins"/>
          <w:lang w:eastAsia="pl-PL"/>
        </w:rPr>
        <w:t>Paribas</w:t>
      </w:r>
      <w:proofErr w:type="spellEnd"/>
      <w:r w:rsidRPr="00061A3B">
        <w:rPr>
          <w:rFonts w:ascii="Poppins" w:eastAsia="Times New Roman" w:hAnsi="Poppins" w:cs="Poppins"/>
          <w:lang w:eastAsia="pl-PL"/>
        </w:rPr>
        <w:t xml:space="preserve"> Real </w:t>
      </w:r>
      <w:proofErr w:type="spellStart"/>
      <w:r w:rsidRPr="00061A3B">
        <w:rPr>
          <w:rFonts w:ascii="Poppins" w:eastAsia="Times New Roman" w:hAnsi="Poppins" w:cs="Poppins"/>
          <w:lang w:eastAsia="pl-PL"/>
        </w:rPr>
        <w:t>Estate</w:t>
      </w:r>
      <w:proofErr w:type="spellEnd"/>
      <w:r w:rsidRPr="00061A3B">
        <w:rPr>
          <w:rFonts w:ascii="Poppins" w:eastAsia="Times New Roman" w:hAnsi="Poppins" w:cs="Poppins"/>
          <w:lang w:eastAsia="pl-PL"/>
        </w:rPr>
        <w:t xml:space="preserve"> Polska pokazują, że mieszkania z certyfikatem ekologicznym osiągają na rynku wtórnym o 5–15% wyższe ceny niż porównywalne lokale bez takiego standardu. Kupujący widzą w nich bowiem inwestycję odporną na przyszłe podwyżki cen energii oraz rosnące wymagania prawne.</w:t>
      </w:r>
    </w:p>
    <w:p w14:paraId="4F6B4F15" w14:textId="77777777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W głównych metropoliach kraju wolumen zielonych certyfikatów z roku na rok rośnie już w tempie dwucyfrowym, a w wyższych segmentach mieszkaniówki certyfikacja staje się już standardem. Mniejsze ośrodki już wkrótce pójdą w ślad tych największych. Zapewne w perspektywie dwóch-trzech lat inwestycje bez potwierdzonej emisyjności mogą być postrzegane jako te drugiej kategorii – mówi Jarosław Jędrzyński, analityk rynku nieruchomości portalu RynekPierwotny.pl.</w:t>
      </w:r>
    </w:p>
    <w:p w14:paraId="0090560C" w14:textId="12271291" w:rsidR="006A2BA5" w:rsidRPr="007B4855" w:rsidRDefault="007B4855" w:rsidP="007B4855">
      <w:pPr>
        <w:spacing w:before="120"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noProof/>
          <w:sz w:val="24"/>
          <w:szCs w:val="24"/>
          <w:lang w:eastAsia="pl-PL"/>
        </w:rPr>
        <w:drawing>
          <wp:inline distT="0" distB="0" distL="0" distR="0" wp14:anchorId="4A21119F" wp14:editId="2A156742">
            <wp:extent cx="6645910" cy="5044440"/>
            <wp:effectExtent l="0" t="0" r="2540" b="3810"/>
            <wp:docPr id="950798336" name="Obraz 1" descr="Obraz zawierający tekst, zrzut ekranu, diagram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98336" name="Obraz 1" descr="Obraz zawierający tekst, zrzut ekranu, diagram, Czcionka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4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DBA7D" w14:textId="238D58B1" w:rsidR="00011B71" w:rsidRPr="00061A3B" w:rsidRDefault="00011B71" w:rsidP="00011B71">
      <w:pPr>
        <w:spacing w:before="120" w:after="120" w:line="240" w:lineRule="auto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eastAsia="Times New Roman" w:hAnsi="Poppins" w:cs="Poppins"/>
          <w:b/>
          <w:bCs/>
          <w:lang w:eastAsia="pl-PL"/>
        </w:rPr>
        <w:lastRenderedPageBreak/>
        <w:t>Zielone finansowanie, czyli preferencje banków</w:t>
      </w:r>
    </w:p>
    <w:p w14:paraId="3E5824A1" w14:textId="77777777" w:rsidR="00011B71" w:rsidRPr="00061A3B" w:rsidRDefault="00011B71" w:rsidP="003340B5">
      <w:pPr>
        <w:spacing w:before="120" w:after="120" w:line="240" w:lineRule="auto"/>
        <w:jc w:val="both"/>
        <w:rPr>
          <w:rFonts w:ascii="Poppins" w:hAnsi="Poppins" w:cs="Poppins"/>
        </w:rPr>
      </w:pPr>
      <w:r w:rsidRPr="00061A3B">
        <w:rPr>
          <w:rFonts w:ascii="Poppins" w:eastAsia="Times New Roman" w:hAnsi="Poppins" w:cs="Poppins"/>
          <w:lang w:eastAsia="pl-PL"/>
        </w:rPr>
        <w:t xml:space="preserve">Krajowe banki wprowadzają coraz więcej tzw. zielonych hipotek z niższą marżą o nawet o 0,2–0,5 pp. lub preferencyjnym oprocentowaniem dla inwestycji spełniających </w:t>
      </w:r>
      <w:r w:rsidRPr="00061A3B">
        <w:rPr>
          <w:rFonts w:ascii="Poppins" w:hAnsi="Poppins" w:cs="Poppins"/>
        </w:rPr>
        <w:t xml:space="preserve">kryteria efektywności energetycznej. Produkty tego typu oferują już PKO BP, BNP </w:t>
      </w:r>
      <w:proofErr w:type="spellStart"/>
      <w:r w:rsidRPr="00061A3B">
        <w:rPr>
          <w:rFonts w:ascii="Poppins" w:hAnsi="Poppins" w:cs="Poppins"/>
        </w:rPr>
        <w:t>Paribas</w:t>
      </w:r>
      <w:proofErr w:type="spellEnd"/>
      <w:r w:rsidRPr="00061A3B">
        <w:rPr>
          <w:rFonts w:ascii="Poppins" w:hAnsi="Poppins" w:cs="Poppins"/>
        </w:rPr>
        <w:t>, mBank czy Bank Millennium. Na czym opierają swoją kalkulację?</w:t>
      </w:r>
    </w:p>
    <w:p w14:paraId="5681F872" w14:textId="77777777" w:rsidR="00011B71" w:rsidRPr="00061A3B" w:rsidRDefault="00011B71" w:rsidP="003340B5">
      <w:pPr>
        <w:spacing w:before="120" w:after="120" w:line="240" w:lineRule="auto"/>
        <w:jc w:val="both"/>
        <w:rPr>
          <w:rFonts w:ascii="Poppins" w:hAnsi="Poppins" w:cs="Poppins"/>
        </w:rPr>
      </w:pPr>
      <w:r w:rsidRPr="00061A3B">
        <w:rPr>
          <w:rFonts w:ascii="Poppins" w:hAnsi="Poppins" w:cs="Poppins"/>
        </w:rPr>
        <w:t xml:space="preserve">Pierwszoplanowe znaczenie mają w tym przypadku zielone obligacje (ang. </w:t>
      </w:r>
      <w:proofErr w:type="spellStart"/>
      <w:r w:rsidRPr="00061A3B">
        <w:rPr>
          <w:rStyle w:val="Uwydatnienie"/>
          <w:rFonts w:ascii="Poppins" w:hAnsi="Poppins" w:cs="Poppins"/>
        </w:rPr>
        <w:t>green</w:t>
      </w:r>
      <w:proofErr w:type="spellEnd"/>
      <w:r w:rsidRPr="00061A3B">
        <w:rPr>
          <w:rStyle w:val="Uwydatnienie"/>
          <w:rFonts w:ascii="Poppins" w:hAnsi="Poppins" w:cs="Poppins"/>
        </w:rPr>
        <w:t xml:space="preserve"> </w:t>
      </w:r>
      <w:proofErr w:type="spellStart"/>
      <w:r w:rsidRPr="00061A3B">
        <w:rPr>
          <w:rStyle w:val="Uwydatnienie"/>
          <w:rFonts w:ascii="Poppins" w:hAnsi="Poppins" w:cs="Poppins"/>
        </w:rPr>
        <w:t>bonds</w:t>
      </w:r>
      <w:proofErr w:type="spellEnd"/>
      <w:r w:rsidRPr="00061A3B">
        <w:rPr>
          <w:rFonts w:ascii="Poppins" w:hAnsi="Poppins" w:cs="Poppins"/>
        </w:rPr>
        <w:t xml:space="preserve">). To instrumenty dłużne emitowane przez państwa, banki, samorządy czy przedsiębiorstwa, z których pozyskany kapitał jest przeznaczony wyłącznie na finansowanie projektów proekologicznych, m.in. mieszkaniowe budownictwo energooszczędne. </w:t>
      </w:r>
    </w:p>
    <w:p w14:paraId="532523F3" w14:textId="77777777" w:rsidR="00011B71" w:rsidRPr="00061A3B" w:rsidRDefault="00011B71" w:rsidP="003340B5">
      <w:pPr>
        <w:spacing w:before="120" w:after="120" w:line="240" w:lineRule="auto"/>
        <w:jc w:val="both"/>
        <w:rPr>
          <w:rFonts w:ascii="Poppins" w:hAnsi="Poppins" w:cs="Poppins"/>
        </w:rPr>
      </w:pPr>
      <w:r w:rsidRPr="00061A3B">
        <w:rPr>
          <w:rFonts w:ascii="Poppins" w:hAnsi="Poppins" w:cs="Poppins"/>
        </w:rPr>
        <w:t xml:space="preserve">W Polsce już w 2016 r. pojawiły się pierwsze na świecie zielone obligacje skarbowe. Później PKO Bank Hipoteczny wyemitował zielone listy zastawne, a </w:t>
      </w:r>
      <w:proofErr w:type="spellStart"/>
      <w:r w:rsidRPr="00061A3B">
        <w:rPr>
          <w:rFonts w:ascii="Poppins" w:hAnsi="Poppins" w:cs="Poppins"/>
        </w:rPr>
        <w:t>Skanska</w:t>
      </w:r>
      <w:proofErr w:type="spellEnd"/>
      <w:r w:rsidRPr="00061A3B">
        <w:rPr>
          <w:rFonts w:ascii="Poppins" w:hAnsi="Poppins" w:cs="Poppins"/>
        </w:rPr>
        <w:t xml:space="preserve"> korzystała z zielonych obligacji do finansowania zrównoważonych projektów biurowych i mieszkaniowych w Polsce i Europie. Z kolei emisje </w:t>
      </w:r>
      <w:proofErr w:type="spellStart"/>
      <w:r w:rsidRPr="00061A3B">
        <w:rPr>
          <w:rFonts w:ascii="Poppins" w:hAnsi="Poppins" w:cs="Poppins"/>
        </w:rPr>
        <w:t>green</w:t>
      </w:r>
      <w:proofErr w:type="spellEnd"/>
      <w:r w:rsidRPr="00061A3B">
        <w:rPr>
          <w:rFonts w:ascii="Poppins" w:hAnsi="Poppins" w:cs="Poppins"/>
        </w:rPr>
        <w:t xml:space="preserve"> </w:t>
      </w:r>
      <w:proofErr w:type="spellStart"/>
      <w:r w:rsidRPr="00061A3B">
        <w:rPr>
          <w:rFonts w:ascii="Poppins" w:hAnsi="Poppins" w:cs="Poppins"/>
        </w:rPr>
        <w:t>bonds</w:t>
      </w:r>
      <w:proofErr w:type="spellEnd"/>
      <w:r w:rsidRPr="00061A3B">
        <w:rPr>
          <w:rFonts w:ascii="Poppins" w:hAnsi="Poppins" w:cs="Poppins"/>
        </w:rPr>
        <w:t xml:space="preserve"> Europejskiego Banku Inwestycyjnego to stałe źródło finansowania projektów zrównoważonego rozwoju w UE.  </w:t>
      </w:r>
    </w:p>
    <w:p w14:paraId="52E108C1" w14:textId="77777777" w:rsidR="00011B71" w:rsidRPr="00061A3B" w:rsidRDefault="00011B71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hAnsi="Poppins" w:cs="Poppins"/>
        </w:rPr>
        <w:t xml:space="preserve">Poza tym bank finansujący zielone budownictwo zakłada, że mieszkanie energooszczędne to znacznie pewniejsze aktywo w portfelu, co ma wynikać z lepszej wyceny bieżącej i optymalnej perspektywy utrzymania czy wzrostu wartości w czasie. Po drugie, takie lokum oznacza niższe koszty utrzymania, tym samym więcej środków zostaje w kieszeni kredytobiorcy na spłatę rat. W praktyce oznacza to wyższą zdolność kredytową i niższe koszty finansowania. Na podobne korzyści mogą liczyć także deweloperzy, co redukuje ich koszty, zmniejszając ostatecznie presję na ceny oferowanych lokali. </w:t>
      </w:r>
      <w:r w:rsidRPr="00061A3B">
        <w:rPr>
          <w:rFonts w:ascii="Poppins" w:eastAsia="Times New Roman" w:hAnsi="Poppins" w:cs="Poppins"/>
          <w:lang w:eastAsia="pl-PL"/>
        </w:rPr>
        <w:t>W efekcie projekty ekologiczne zazwyczaj szybciej znajdują nabywców, a inwestorzy indywidualni uzyskują lepszą stopę zwrotu.</w:t>
      </w:r>
    </w:p>
    <w:p w14:paraId="2BE7E8DB" w14:textId="6D0543C5" w:rsidR="008201C2" w:rsidRPr="00061A3B" w:rsidRDefault="008201C2" w:rsidP="008201C2">
      <w:pPr>
        <w:spacing w:before="120" w:after="120" w:line="240" w:lineRule="auto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eastAsia="Times New Roman" w:hAnsi="Poppins" w:cs="Poppins"/>
          <w:b/>
          <w:bCs/>
          <w:lang w:eastAsia="pl-PL"/>
        </w:rPr>
        <w:t>E</w:t>
      </w:r>
      <w:r w:rsidR="00011B71" w:rsidRPr="00061A3B">
        <w:rPr>
          <w:rFonts w:ascii="Poppins" w:eastAsia="Times New Roman" w:hAnsi="Poppins" w:cs="Poppins"/>
          <w:b/>
          <w:bCs/>
          <w:lang w:eastAsia="pl-PL"/>
        </w:rPr>
        <w:t>fektywność energetyczna</w:t>
      </w:r>
      <w:r w:rsidRPr="00061A3B">
        <w:rPr>
          <w:rFonts w:ascii="Poppins" w:eastAsia="Times New Roman" w:hAnsi="Poppins" w:cs="Poppins"/>
          <w:b/>
          <w:bCs/>
          <w:lang w:eastAsia="pl-PL"/>
        </w:rPr>
        <w:t xml:space="preserve"> to gwarancja utrzymania wartości</w:t>
      </w:r>
    </w:p>
    <w:p w14:paraId="4091B325" w14:textId="71694639" w:rsidR="00011B71" w:rsidRPr="00061A3B" w:rsidRDefault="00011B71" w:rsidP="003340B5">
      <w:pPr>
        <w:spacing w:before="120" w:after="120" w:line="240" w:lineRule="auto"/>
        <w:jc w:val="both"/>
        <w:outlineLvl w:val="1"/>
        <w:rPr>
          <w:rFonts w:ascii="Poppins" w:eastAsia="Times New Roman" w:hAnsi="Poppins" w:cs="Poppins"/>
          <w:b/>
          <w:bCs/>
          <w:lang w:eastAsia="pl-PL"/>
        </w:rPr>
      </w:pPr>
      <w:r w:rsidRPr="00061A3B">
        <w:rPr>
          <w:rFonts w:ascii="Poppins" w:hAnsi="Poppins" w:cs="Poppins"/>
        </w:rPr>
        <w:t>Rewizja dyrektywy EPBD z grudnia 2023 wyznacza nowe ambicje w zakresie nowego budownictwa net-zero, pogłębienia modernizacji istniejących budynków</w:t>
      </w:r>
      <w:r w:rsidR="00871E37" w:rsidRPr="00061A3B">
        <w:rPr>
          <w:rFonts w:ascii="Poppins" w:hAnsi="Poppins" w:cs="Poppins"/>
        </w:rPr>
        <w:t xml:space="preserve"> </w:t>
      </w:r>
      <w:r w:rsidRPr="00061A3B">
        <w:rPr>
          <w:rFonts w:ascii="Poppins" w:hAnsi="Poppins" w:cs="Poppins"/>
        </w:rPr>
        <w:t>czy zmian systemów zasilania energią – będzie to kluczowa zmiana. Od 2030 r. wszystkie nowe budynki będą musiały być zero-emisyjne netto, wymuszając zmiany w sposobie ogrzewania na nieemisyjne. Do 2033-35 ma nastąpić fala modernizacji istniejących budynków, zarówno użytkowych, jak i mieszkalnych. Do 2031 r. panele PV będą szeroko stosowane w nowym budownictwie i części istniejącego budownictwa niemieszkalnego.</w:t>
      </w:r>
    </w:p>
    <w:p w14:paraId="0533D29E" w14:textId="557D82A9" w:rsidR="008201C2" w:rsidRPr="00061A3B" w:rsidRDefault="008201C2" w:rsidP="003340B5">
      <w:pPr>
        <w:spacing w:before="120" w:after="120" w:line="240" w:lineRule="auto"/>
        <w:jc w:val="both"/>
        <w:rPr>
          <w:rFonts w:ascii="Poppins" w:eastAsia="Times New Roman" w:hAnsi="Poppins" w:cs="Poppins"/>
          <w:lang w:eastAsia="pl-PL"/>
        </w:rPr>
      </w:pPr>
      <w:r w:rsidRPr="00061A3B">
        <w:rPr>
          <w:rFonts w:ascii="Poppins" w:eastAsia="Times New Roman" w:hAnsi="Poppins" w:cs="Poppins"/>
          <w:lang w:eastAsia="pl-PL"/>
        </w:rPr>
        <w:t>W ten sposób zrównoważone nieruchomości przestały być</w:t>
      </w:r>
      <w:r w:rsidR="002D61E9" w:rsidRPr="00061A3B">
        <w:rPr>
          <w:rFonts w:ascii="Poppins" w:eastAsia="Times New Roman" w:hAnsi="Poppins" w:cs="Poppins"/>
          <w:lang w:eastAsia="pl-PL"/>
        </w:rPr>
        <w:t xml:space="preserve"> jedynie</w:t>
      </w:r>
      <w:r w:rsidRPr="00061A3B">
        <w:rPr>
          <w:rFonts w:ascii="Poppins" w:eastAsia="Times New Roman" w:hAnsi="Poppins" w:cs="Poppins"/>
          <w:lang w:eastAsia="pl-PL"/>
        </w:rPr>
        <w:t xml:space="preserve"> niszową ciekawostką</w:t>
      </w:r>
      <w:r w:rsidR="002D61E9" w:rsidRPr="00061A3B">
        <w:rPr>
          <w:rFonts w:ascii="Poppins" w:eastAsia="Times New Roman" w:hAnsi="Poppins" w:cs="Poppins"/>
          <w:lang w:eastAsia="pl-PL"/>
        </w:rPr>
        <w:t xml:space="preserve">, </w:t>
      </w:r>
      <w:r w:rsidRPr="00061A3B">
        <w:rPr>
          <w:rFonts w:ascii="Poppins" w:eastAsia="Times New Roman" w:hAnsi="Poppins" w:cs="Poppins"/>
          <w:lang w:eastAsia="pl-PL"/>
        </w:rPr>
        <w:t xml:space="preserve">już obecnie </w:t>
      </w:r>
      <w:r w:rsidR="00011B71" w:rsidRPr="00061A3B">
        <w:rPr>
          <w:rFonts w:ascii="Poppins" w:eastAsia="Times New Roman" w:hAnsi="Poppins" w:cs="Poppins"/>
          <w:lang w:eastAsia="pl-PL"/>
        </w:rPr>
        <w:t>stając</w:t>
      </w:r>
      <w:r w:rsidRPr="00061A3B">
        <w:rPr>
          <w:rFonts w:ascii="Poppins" w:eastAsia="Times New Roman" w:hAnsi="Poppins" w:cs="Poppins"/>
          <w:lang w:eastAsia="pl-PL"/>
        </w:rPr>
        <w:t xml:space="preserve"> się </w:t>
      </w:r>
      <w:r w:rsidR="002D61E9" w:rsidRPr="00061A3B">
        <w:rPr>
          <w:rFonts w:ascii="Poppins" w:eastAsia="Times New Roman" w:hAnsi="Poppins" w:cs="Poppins"/>
          <w:lang w:eastAsia="pl-PL"/>
        </w:rPr>
        <w:t xml:space="preserve">bodaj najbardziej </w:t>
      </w:r>
      <w:r w:rsidRPr="00061A3B">
        <w:rPr>
          <w:rFonts w:ascii="Poppins" w:eastAsia="Times New Roman" w:hAnsi="Poppins" w:cs="Poppins"/>
          <w:lang w:eastAsia="pl-PL"/>
        </w:rPr>
        <w:t>wyróżniającym segmentem rynku, który przyciąga inwestorów myślących długoterminowo. Niższe koszty utrzymania, większe zainteresowanie najemców, premia cenowa przy sprzedaży oraz preferencyjne warunki finansowania sprawiają, że w 2025 roku inwestowanie w „zielone” mieszkania to nie tylko kwestia ekologii, ale przede wszystkim… rachunku ekonomicznego.</w:t>
      </w:r>
    </w:p>
    <w:p w14:paraId="30239B4A" w14:textId="77777777" w:rsidR="008201C2" w:rsidRPr="00011B71" w:rsidRDefault="008201C2" w:rsidP="008201C2">
      <w:pPr>
        <w:spacing w:before="120" w:after="120" w:line="240" w:lineRule="auto"/>
        <w:rPr>
          <w:rFonts w:ascii="Calibri" w:hAnsi="Calibri" w:cs="Calibri"/>
          <w:sz w:val="24"/>
          <w:szCs w:val="24"/>
        </w:rPr>
      </w:pPr>
    </w:p>
    <w:p w14:paraId="1C3919B0" w14:textId="609FF37F" w:rsidR="00BF1B14" w:rsidRDefault="00061A3B" w:rsidP="00CA33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</w:t>
      </w:r>
    </w:p>
    <w:p w14:paraId="08C44820" w14:textId="77777777" w:rsidR="00061A3B" w:rsidRDefault="00061A3B" w:rsidP="00CA33AD">
      <w:pPr>
        <w:rPr>
          <w:rFonts w:cstheme="minorHAnsi"/>
          <w:sz w:val="24"/>
          <w:szCs w:val="24"/>
        </w:rPr>
      </w:pPr>
    </w:p>
    <w:p w14:paraId="1FC443D2" w14:textId="77777777" w:rsidR="00061A3B" w:rsidRPr="00061A3B" w:rsidRDefault="00061A3B" w:rsidP="00061A3B">
      <w:pPr>
        <w:rPr>
          <w:rFonts w:ascii="Poppins" w:hAnsi="Poppins" w:cs="Poppins"/>
          <w:b/>
          <w:bCs/>
          <w:sz w:val="20"/>
          <w:szCs w:val="20"/>
        </w:rPr>
      </w:pPr>
      <w:r w:rsidRPr="00061A3B">
        <w:rPr>
          <w:rFonts w:cstheme="minorHAnsi"/>
          <w:sz w:val="24"/>
          <w:szCs w:val="24"/>
        </w:rPr>
        <w:lastRenderedPageBreak/>
        <w:drawing>
          <wp:inline distT="0" distB="0" distL="0" distR="0" wp14:anchorId="5E91E531" wp14:editId="782D9AA8">
            <wp:extent cx="2118360" cy="1733980"/>
            <wp:effectExtent l="0" t="0" r="0" b="0"/>
            <wp:docPr id="1072743079" name="Obraz 1" descr="Obraz zawierający Ludzka twarz, osoba, ubrania, Ubiór formal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743079" name="Obraz 1" descr="Obraz zawierający Ludzka twarz, osoba, ubrania, Ubiór formalny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2251" cy="173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br/>
      </w:r>
      <w:r w:rsidRPr="00061A3B">
        <w:rPr>
          <w:rFonts w:ascii="Poppins" w:hAnsi="Poppins" w:cs="Poppins"/>
          <w:b/>
          <w:bCs/>
          <w:sz w:val="20"/>
          <w:szCs w:val="20"/>
        </w:rPr>
        <w:t>Jarosław Jędrzyński</w:t>
      </w:r>
    </w:p>
    <w:p w14:paraId="5F26E858" w14:textId="77777777" w:rsidR="00061A3B" w:rsidRPr="00061A3B" w:rsidRDefault="00061A3B" w:rsidP="00061A3B">
      <w:pPr>
        <w:jc w:val="both"/>
        <w:rPr>
          <w:rFonts w:ascii="Poppins" w:hAnsi="Poppins" w:cs="Poppins"/>
          <w:sz w:val="20"/>
          <w:szCs w:val="20"/>
        </w:rPr>
      </w:pPr>
      <w:r w:rsidRPr="00061A3B">
        <w:rPr>
          <w:rFonts w:ascii="Poppins" w:hAnsi="Poppins" w:cs="Poppins"/>
          <w:sz w:val="20"/>
          <w:szCs w:val="20"/>
        </w:rPr>
        <w:t>Znany i ceniony analityk pracujący od ponad 13 lat dla portalu RynekPierwotny.pl. Od z górą dwóch dekad obecny na rynku nieruchomości. W 2021 r. uznany przez Gazetę Finansową za jednego z pięciu najbardziej opiniotwórczych ekspertów rynku mieszkaniowego. Komentuje funkcjonowanie i tendencje rynków mieszkaniowego i finansowego. Analizuje raporty GUS, NBP i inne dotyczące mieszkaniówki oraz trendy i statystyki sprzedażowo-finansowe giełdowych spółek nieruchomościowych.</w:t>
      </w:r>
    </w:p>
    <w:p w14:paraId="6A4FB1F5" w14:textId="72AC5D92" w:rsidR="00061A3B" w:rsidRPr="00011B71" w:rsidRDefault="00061A3B" w:rsidP="00CA33AD">
      <w:pPr>
        <w:rPr>
          <w:rFonts w:cstheme="minorHAnsi"/>
          <w:sz w:val="24"/>
          <w:szCs w:val="24"/>
        </w:rPr>
      </w:pPr>
    </w:p>
    <w:sectPr w:rsidR="00061A3B" w:rsidRPr="00011B71" w:rsidSect="00060554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83824" w14:textId="77777777" w:rsidR="000C6631" w:rsidRDefault="000C6631" w:rsidP="00E533BD">
      <w:pPr>
        <w:spacing w:after="0" w:line="240" w:lineRule="auto"/>
      </w:pPr>
      <w:r>
        <w:separator/>
      </w:r>
    </w:p>
  </w:endnote>
  <w:endnote w:type="continuationSeparator" w:id="0">
    <w:p w14:paraId="605B2292" w14:textId="77777777" w:rsidR="000C6631" w:rsidRDefault="000C6631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4DB43" w14:textId="77777777" w:rsidR="000C6631" w:rsidRDefault="000C6631" w:rsidP="00E533BD">
      <w:pPr>
        <w:spacing w:after="0" w:line="240" w:lineRule="auto"/>
      </w:pPr>
      <w:r>
        <w:separator/>
      </w:r>
    </w:p>
  </w:footnote>
  <w:footnote w:type="continuationSeparator" w:id="0">
    <w:p w14:paraId="10871DFA" w14:textId="77777777" w:rsidR="000C6631" w:rsidRDefault="000C6631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E4A08"/>
    <w:multiLevelType w:val="multilevel"/>
    <w:tmpl w:val="363A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218E3"/>
    <w:multiLevelType w:val="hybridMultilevel"/>
    <w:tmpl w:val="EE7A4C46"/>
    <w:lvl w:ilvl="0" w:tplc="09B6F5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F4D86"/>
    <w:multiLevelType w:val="multilevel"/>
    <w:tmpl w:val="B24C9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ptos" w:eastAsia="Times New Roman" w:hAnsi="Aptos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0043884">
    <w:abstractNumId w:val="0"/>
  </w:num>
  <w:num w:numId="2" w16cid:durableId="1394499971">
    <w:abstractNumId w:val="2"/>
  </w:num>
  <w:num w:numId="3" w16cid:durableId="102120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10B86"/>
    <w:rsid w:val="00011B71"/>
    <w:rsid w:val="00015274"/>
    <w:rsid w:val="00016290"/>
    <w:rsid w:val="0002489E"/>
    <w:rsid w:val="00027E31"/>
    <w:rsid w:val="00044139"/>
    <w:rsid w:val="00056AE5"/>
    <w:rsid w:val="00057F54"/>
    <w:rsid w:val="00060554"/>
    <w:rsid w:val="00061A3B"/>
    <w:rsid w:val="00071AC1"/>
    <w:rsid w:val="00072860"/>
    <w:rsid w:val="0007769A"/>
    <w:rsid w:val="000A29D3"/>
    <w:rsid w:val="000C2C30"/>
    <w:rsid w:val="000C6631"/>
    <w:rsid w:val="000D5D39"/>
    <w:rsid w:val="000F0B92"/>
    <w:rsid w:val="000F3AA4"/>
    <w:rsid w:val="000F51B6"/>
    <w:rsid w:val="001003CF"/>
    <w:rsid w:val="00103CEB"/>
    <w:rsid w:val="001043A3"/>
    <w:rsid w:val="00106C6C"/>
    <w:rsid w:val="00123BF3"/>
    <w:rsid w:val="001467D0"/>
    <w:rsid w:val="00160B41"/>
    <w:rsid w:val="00171955"/>
    <w:rsid w:val="001721B4"/>
    <w:rsid w:val="001725C0"/>
    <w:rsid w:val="00176DE5"/>
    <w:rsid w:val="00182A25"/>
    <w:rsid w:val="0018306C"/>
    <w:rsid w:val="00184ECE"/>
    <w:rsid w:val="00193531"/>
    <w:rsid w:val="00194693"/>
    <w:rsid w:val="001C3E2E"/>
    <w:rsid w:val="001D2AA4"/>
    <w:rsid w:val="001D2BE7"/>
    <w:rsid w:val="002062BD"/>
    <w:rsid w:val="002163A3"/>
    <w:rsid w:val="00221624"/>
    <w:rsid w:val="00226E77"/>
    <w:rsid w:val="00232CED"/>
    <w:rsid w:val="002379C7"/>
    <w:rsid w:val="00255A24"/>
    <w:rsid w:val="002565D9"/>
    <w:rsid w:val="0027120F"/>
    <w:rsid w:val="00272E12"/>
    <w:rsid w:val="00293F01"/>
    <w:rsid w:val="002A6046"/>
    <w:rsid w:val="002B2E52"/>
    <w:rsid w:val="002B6105"/>
    <w:rsid w:val="002C3A0A"/>
    <w:rsid w:val="002D61E9"/>
    <w:rsid w:val="002E6753"/>
    <w:rsid w:val="0030376C"/>
    <w:rsid w:val="0032038B"/>
    <w:rsid w:val="00320CFA"/>
    <w:rsid w:val="00331728"/>
    <w:rsid w:val="00332577"/>
    <w:rsid w:val="003340B5"/>
    <w:rsid w:val="00350EE6"/>
    <w:rsid w:val="00357FA7"/>
    <w:rsid w:val="00360B53"/>
    <w:rsid w:val="00366950"/>
    <w:rsid w:val="00367682"/>
    <w:rsid w:val="0036796F"/>
    <w:rsid w:val="00370F36"/>
    <w:rsid w:val="00382D22"/>
    <w:rsid w:val="0039417A"/>
    <w:rsid w:val="003A61D7"/>
    <w:rsid w:val="003C74F0"/>
    <w:rsid w:val="003D27A1"/>
    <w:rsid w:val="003D28BE"/>
    <w:rsid w:val="003E024A"/>
    <w:rsid w:val="003F4D95"/>
    <w:rsid w:val="004069F6"/>
    <w:rsid w:val="00414F41"/>
    <w:rsid w:val="00415CFE"/>
    <w:rsid w:val="00442EBD"/>
    <w:rsid w:val="00445E56"/>
    <w:rsid w:val="0045420A"/>
    <w:rsid w:val="00456757"/>
    <w:rsid w:val="0046256F"/>
    <w:rsid w:val="00471D4D"/>
    <w:rsid w:val="00482A60"/>
    <w:rsid w:val="004A2589"/>
    <w:rsid w:val="004B347E"/>
    <w:rsid w:val="004B34BB"/>
    <w:rsid w:val="004C4395"/>
    <w:rsid w:val="004F453C"/>
    <w:rsid w:val="00504683"/>
    <w:rsid w:val="00507867"/>
    <w:rsid w:val="00507B27"/>
    <w:rsid w:val="005161BA"/>
    <w:rsid w:val="0052593E"/>
    <w:rsid w:val="005329D7"/>
    <w:rsid w:val="0054268E"/>
    <w:rsid w:val="005428ED"/>
    <w:rsid w:val="00542D69"/>
    <w:rsid w:val="00553612"/>
    <w:rsid w:val="00553875"/>
    <w:rsid w:val="00556268"/>
    <w:rsid w:val="00562815"/>
    <w:rsid w:val="005641A0"/>
    <w:rsid w:val="00565B3F"/>
    <w:rsid w:val="00571D71"/>
    <w:rsid w:val="005756AC"/>
    <w:rsid w:val="005767EF"/>
    <w:rsid w:val="00591996"/>
    <w:rsid w:val="00595106"/>
    <w:rsid w:val="00597EB4"/>
    <w:rsid w:val="005A171E"/>
    <w:rsid w:val="005A318B"/>
    <w:rsid w:val="005B4A77"/>
    <w:rsid w:val="005B6EC7"/>
    <w:rsid w:val="005D03E9"/>
    <w:rsid w:val="005D149B"/>
    <w:rsid w:val="005D60E5"/>
    <w:rsid w:val="005E154B"/>
    <w:rsid w:val="005E364A"/>
    <w:rsid w:val="005F5887"/>
    <w:rsid w:val="006170B5"/>
    <w:rsid w:val="00637EB0"/>
    <w:rsid w:val="00645B44"/>
    <w:rsid w:val="00655E69"/>
    <w:rsid w:val="006575E9"/>
    <w:rsid w:val="0066231E"/>
    <w:rsid w:val="006902AE"/>
    <w:rsid w:val="00693D0A"/>
    <w:rsid w:val="006A2BA5"/>
    <w:rsid w:val="006A6C3D"/>
    <w:rsid w:val="006B63E5"/>
    <w:rsid w:val="006C07E3"/>
    <w:rsid w:val="006D1A53"/>
    <w:rsid w:val="006D638E"/>
    <w:rsid w:val="006E144D"/>
    <w:rsid w:val="006E194D"/>
    <w:rsid w:val="006F0A66"/>
    <w:rsid w:val="006F1831"/>
    <w:rsid w:val="007124B4"/>
    <w:rsid w:val="0071427E"/>
    <w:rsid w:val="007465BD"/>
    <w:rsid w:val="00782C3E"/>
    <w:rsid w:val="00793B7D"/>
    <w:rsid w:val="007948EF"/>
    <w:rsid w:val="007955FF"/>
    <w:rsid w:val="007A6B21"/>
    <w:rsid w:val="007B4855"/>
    <w:rsid w:val="007D2716"/>
    <w:rsid w:val="007E3768"/>
    <w:rsid w:val="00801EEA"/>
    <w:rsid w:val="00815D70"/>
    <w:rsid w:val="008201C2"/>
    <w:rsid w:val="00825AD9"/>
    <w:rsid w:val="008265FD"/>
    <w:rsid w:val="008350DC"/>
    <w:rsid w:val="00836B91"/>
    <w:rsid w:val="00855A73"/>
    <w:rsid w:val="00861581"/>
    <w:rsid w:val="00871E37"/>
    <w:rsid w:val="008847A8"/>
    <w:rsid w:val="00884A9A"/>
    <w:rsid w:val="008903F0"/>
    <w:rsid w:val="008A0725"/>
    <w:rsid w:val="008A109B"/>
    <w:rsid w:val="008A2C73"/>
    <w:rsid w:val="008A7128"/>
    <w:rsid w:val="008A7207"/>
    <w:rsid w:val="008C4684"/>
    <w:rsid w:val="008C55BD"/>
    <w:rsid w:val="008D612D"/>
    <w:rsid w:val="008D750B"/>
    <w:rsid w:val="008E239F"/>
    <w:rsid w:val="008F61F4"/>
    <w:rsid w:val="008F7B1C"/>
    <w:rsid w:val="0091278B"/>
    <w:rsid w:val="009232E8"/>
    <w:rsid w:val="0093718E"/>
    <w:rsid w:val="00964073"/>
    <w:rsid w:val="00967D21"/>
    <w:rsid w:val="0097467B"/>
    <w:rsid w:val="0098135A"/>
    <w:rsid w:val="0098184C"/>
    <w:rsid w:val="0098333B"/>
    <w:rsid w:val="00990AA6"/>
    <w:rsid w:val="00995380"/>
    <w:rsid w:val="009A324B"/>
    <w:rsid w:val="009A3D85"/>
    <w:rsid w:val="009A4AA4"/>
    <w:rsid w:val="009B37BF"/>
    <w:rsid w:val="009C0ACF"/>
    <w:rsid w:val="009C2310"/>
    <w:rsid w:val="009C234B"/>
    <w:rsid w:val="009C44C2"/>
    <w:rsid w:val="009D1EA9"/>
    <w:rsid w:val="00A0126E"/>
    <w:rsid w:val="00A03012"/>
    <w:rsid w:val="00A17D1B"/>
    <w:rsid w:val="00A24093"/>
    <w:rsid w:val="00A24645"/>
    <w:rsid w:val="00A4731E"/>
    <w:rsid w:val="00A547BE"/>
    <w:rsid w:val="00A56598"/>
    <w:rsid w:val="00A61F10"/>
    <w:rsid w:val="00A64C0A"/>
    <w:rsid w:val="00A74FA9"/>
    <w:rsid w:val="00A85C7B"/>
    <w:rsid w:val="00A90FB0"/>
    <w:rsid w:val="00AB7B01"/>
    <w:rsid w:val="00AD0B83"/>
    <w:rsid w:val="00AD626F"/>
    <w:rsid w:val="00AF5A96"/>
    <w:rsid w:val="00B141B2"/>
    <w:rsid w:val="00B17444"/>
    <w:rsid w:val="00B334C3"/>
    <w:rsid w:val="00B33F85"/>
    <w:rsid w:val="00B42848"/>
    <w:rsid w:val="00B430F1"/>
    <w:rsid w:val="00B5353F"/>
    <w:rsid w:val="00B63867"/>
    <w:rsid w:val="00B6641D"/>
    <w:rsid w:val="00B675F4"/>
    <w:rsid w:val="00B75BD0"/>
    <w:rsid w:val="00B90C5F"/>
    <w:rsid w:val="00BA1EA1"/>
    <w:rsid w:val="00BA48E5"/>
    <w:rsid w:val="00BA4AE2"/>
    <w:rsid w:val="00BB4016"/>
    <w:rsid w:val="00BC3D22"/>
    <w:rsid w:val="00BD2F4F"/>
    <w:rsid w:val="00BE548A"/>
    <w:rsid w:val="00BE7A24"/>
    <w:rsid w:val="00BF1B14"/>
    <w:rsid w:val="00BF285E"/>
    <w:rsid w:val="00BF2F46"/>
    <w:rsid w:val="00BF6DC6"/>
    <w:rsid w:val="00C05921"/>
    <w:rsid w:val="00C12248"/>
    <w:rsid w:val="00C35B7E"/>
    <w:rsid w:val="00C433F4"/>
    <w:rsid w:val="00C44F2B"/>
    <w:rsid w:val="00C50A12"/>
    <w:rsid w:val="00C51D9E"/>
    <w:rsid w:val="00C82746"/>
    <w:rsid w:val="00CA33AD"/>
    <w:rsid w:val="00CA417C"/>
    <w:rsid w:val="00CB7C00"/>
    <w:rsid w:val="00CC024E"/>
    <w:rsid w:val="00CC0693"/>
    <w:rsid w:val="00CC5797"/>
    <w:rsid w:val="00CD15B5"/>
    <w:rsid w:val="00CF036B"/>
    <w:rsid w:val="00D061AE"/>
    <w:rsid w:val="00D1044B"/>
    <w:rsid w:val="00D21433"/>
    <w:rsid w:val="00D3042F"/>
    <w:rsid w:val="00D320B2"/>
    <w:rsid w:val="00D3312D"/>
    <w:rsid w:val="00D40187"/>
    <w:rsid w:val="00D455CB"/>
    <w:rsid w:val="00D54F27"/>
    <w:rsid w:val="00D56A8C"/>
    <w:rsid w:val="00D61344"/>
    <w:rsid w:val="00D61549"/>
    <w:rsid w:val="00D67FE6"/>
    <w:rsid w:val="00D764E5"/>
    <w:rsid w:val="00D87C1C"/>
    <w:rsid w:val="00DA0E39"/>
    <w:rsid w:val="00DA494D"/>
    <w:rsid w:val="00DA53C0"/>
    <w:rsid w:val="00DA72F4"/>
    <w:rsid w:val="00DA7D8F"/>
    <w:rsid w:val="00DB2751"/>
    <w:rsid w:val="00DB60A0"/>
    <w:rsid w:val="00DB639D"/>
    <w:rsid w:val="00DC1870"/>
    <w:rsid w:val="00DD42EE"/>
    <w:rsid w:val="00DD57D9"/>
    <w:rsid w:val="00DD6A44"/>
    <w:rsid w:val="00DE1753"/>
    <w:rsid w:val="00DF07FB"/>
    <w:rsid w:val="00E12093"/>
    <w:rsid w:val="00E25AAC"/>
    <w:rsid w:val="00E32A58"/>
    <w:rsid w:val="00E32F03"/>
    <w:rsid w:val="00E35B28"/>
    <w:rsid w:val="00E3719E"/>
    <w:rsid w:val="00E440F2"/>
    <w:rsid w:val="00E5091C"/>
    <w:rsid w:val="00E533BD"/>
    <w:rsid w:val="00E64272"/>
    <w:rsid w:val="00E73303"/>
    <w:rsid w:val="00E81528"/>
    <w:rsid w:val="00E84E26"/>
    <w:rsid w:val="00EA18AB"/>
    <w:rsid w:val="00EA269B"/>
    <w:rsid w:val="00EC10B9"/>
    <w:rsid w:val="00EC3714"/>
    <w:rsid w:val="00EC5BB4"/>
    <w:rsid w:val="00EC78B9"/>
    <w:rsid w:val="00ED61B2"/>
    <w:rsid w:val="00ED6CE9"/>
    <w:rsid w:val="00ED7A96"/>
    <w:rsid w:val="00EE00BB"/>
    <w:rsid w:val="00EF2044"/>
    <w:rsid w:val="00F06678"/>
    <w:rsid w:val="00F20400"/>
    <w:rsid w:val="00F21411"/>
    <w:rsid w:val="00F22FB4"/>
    <w:rsid w:val="00F2311C"/>
    <w:rsid w:val="00F27BE9"/>
    <w:rsid w:val="00F368D5"/>
    <w:rsid w:val="00F52BC1"/>
    <w:rsid w:val="00F60C6C"/>
    <w:rsid w:val="00F658E2"/>
    <w:rsid w:val="00F71098"/>
    <w:rsid w:val="00F74C4F"/>
    <w:rsid w:val="00F77822"/>
    <w:rsid w:val="00F9538E"/>
    <w:rsid w:val="00FA42CC"/>
    <w:rsid w:val="00FB1774"/>
    <w:rsid w:val="00FB7A20"/>
    <w:rsid w:val="00FD3C74"/>
    <w:rsid w:val="00FD5C22"/>
    <w:rsid w:val="00FF1AE0"/>
    <w:rsid w:val="00FF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semiHidden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67D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D27A1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0B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1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Agnieszka Studzińska</cp:lastModifiedBy>
  <cp:revision>9</cp:revision>
  <cp:lastPrinted>2022-08-09T11:51:00Z</cp:lastPrinted>
  <dcterms:created xsi:type="dcterms:W3CDTF">2025-08-31T14:44:00Z</dcterms:created>
  <dcterms:modified xsi:type="dcterms:W3CDTF">2025-09-19T11:45:00Z</dcterms:modified>
</cp:coreProperties>
</file>